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</w:t>
      </w:r>
      <w:r w:rsidR="000E35CC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  <w:r w:rsidR="00F77D62">
        <w:rPr>
          <w:rFonts w:ascii="Times New Roman" w:hAnsi="Times New Roman"/>
          <w:sz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</w:rPr>
        <w:t>R4-1</w:t>
      </w:r>
      <w:r w:rsidR="00FF2244">
        <w:rPr>
          <w:rFonts w:ascii="Times New Roman" w:hAnsi="Times New Roman"/>
          <w:sz w:val="24"/>
        </w:rPr>
        <w:t>9</w:t>
      </w:r>
      <w:r w:rsidR="00F77D62">
        <w:rPr>
          <w:rFonts w:ascii="Times New Roman" w:hAnsi="Times New Roman"/>
          <w:sz w:val="24"/>
        </w:rPr>
        <w:t>09570</w:t>
      </w:r>
    </w:p>
    <w:p w:rsidR="005813AA" w:rsidRPr="00552689" w:rsidRDefault="000E35CC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Ljubljana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Slovenia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26</w:t>
      </w:r>
      <w:r w:rsidR="00C904B5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-</w:t>
      </w:r>
      <w:r w:rsidR="00651443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30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August</w:t>
      </w:r>
      <w:r w:rsidR="0032455B">
        <w:rPr>
          <w:rFonts w:ascii="Times New Roman" w:hAnsi="Times New Roman"/>
          <w:sz w:val="24"/>
          <w:lang w:val="en-US"/>
        </w:rPr>
        <w:t>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672856" w:rsidRDefault="005813AA" w:rsidP="00672856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E65085">
        <w:rPr>
          <w:rFonts w:ascii="Arial" w:hAnsi="Arial" w:cs="Arial"/>
          <w:sz w:val="24"/>
          <w:lang w:val="en-US" w:eastAsia="zh-CN"/>
        </w:rPr>
        <w:t xml:space="preserve">Way forward on </w:t>
      </w:r>
      <w:r w:rsidR="002510F1">
        <w:rPr>
          <w:rFonts w:ascii="Arial" w:hAnsi="Arial" w:cs="Arial"/>
          <w:sz w:val="24"/>
          <w:lang w:val="en-US" w:eastAsia="zh-CN"/>
        </w:rPr>
        <w:t>RRM specification</w:t>
      </w:r>
      <w:r w:rsidR="00E65085">
        <w:rPr>
          <w:rFonts w:ascii="Arial" w:hAnsi="Arial" w:cs="Arial"/>
          <w:sz w:val="24"/>
          <w:lang w:val="en-US" w:eastAsia="zh-CN"/>
        </w:rPr>
        <w:t>s</w:t>
      </w:r>
      <w:r w:rsidR="002510F1">
        <w:rPr>
          <w:rFonts w:ascii="Arial" w:hAnsi="Arial" w:cs="Arial"/>
          <w:sz w:val="24"/>
          <w:lang w:val="en-US" w:eastAsia="zh-CN"/>
        </w:rPr>
        <w:t xml:space="preserve"> </w:t>
      </w:r>
      <w:r w:rsidR="00E65085">
        <w:rPr>
          <w:rFonts w:ascii="Arial" w:hAnsi="Arial" w:cs="Arial"/>
          <w:sz w:val="24"/>
          <w:lang w:val="en-US" w:eastAsia="zh-CN"/>
        </w:rPr>
        <w:t>for</w:t>
      </w:r>
      <w:r w:rsidR="002510F1">
        <w:rPr>
          <w:rFonts w:ascii="Arial" w:hAnsi="Arial" w:cs="Arial"/>
          <w:sz w:val="24"/>
          <w:lang w:val="en-US" w:eastAsia="zh-CN"/>
        </w:rPr>
        <w:t xml:space="preserve"> NR-U</w:t>
      </w:r>
    </w:p>
    <w:p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AA06CD">
        <w:rPr>
          <w:rFonts w:ascii="Arial" w:hAnsi="Arial" w:cs="Arial"/>
          <w:sz w:val="24"/>
          <w:lang w:val="en-US" w:eastAsia="zh-CN"/>
        </w:rPr>
        <w:t>9.1.4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E65085">
        <w:rPr>
          <w:rFonts w:ascii="Arial" w:hAnsi="Arial" w:cs="Arial"/>
          <w:sz w:val="24"/>
          <w:lang w:val="en-US" w:eastAsia="zh-CN"/>
        </w:rPr>
        <w:t>Approval</w:t>
      </w:r>
    </w:p>
    <w:p w:rsidR="004469EF" w:rsidRPr="004469EF" w:rsidRDefault="004469EF" w:rsidP="004469EF"/>
    <w:p w:rsidR="0084532A" w:rsidRPr="0084532A" w:rsidRDefault="00E65085" w:rsidP="0084532A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Way forward</w:t>
      </w:r>
    </w:p>
    <w:p w:rsidR="00E65085" w:rsidRPr="00E65085" w:rsidRDefault="00E65085" w:rsidP="00E65085">
      <w:pPr>
        <w:numPr>
          <w:ilvl w:val="0"/>
          <w:numId w:val="33"/>
        </w:numPr>
        <w:rPr>
          <w:lang w:val="en-US" w:eastAsia="zh-CN"/>
        </w:rPr>
      </w:pPr>
      <w:r w:rsidRPr="00E65085">
        <w:rPr>
          <w:lang w:val="en-US" w:eastAsia="zh-CN"/>
        </w:rPr>
        <w:t>Requirements for measurements under the NR-U work item are referred to as “Requirements for measurements based on DRS”</w:t>
      </w:r>
    </w:p>
    <w:p w:rsidR="00E65085" w:rsidRPr="00E65085" w:rsidRDefault="00E65085" w:rsidP="00E65085">
      <w:pPr>
        <w:numPr>
          <w:ilvl w:val="0"/>
          <w:numId w:val="33"/>
        </w:numPr>
        <w:rPr>
          <w:lang w:val="en-US" w:eastAsia="zh-CN"/>
        </w:rPr>
      </w:pPr>
      <w:r w:rsidRPr="00E65085">
        <w:rPr>
          <w:lang w:val="en-US" w:eastAsia="zh-CN"/>
        </w:rPr>
        <w:t>(Initial proposal) Requirements for UE Uplink transmission under the NR-U work item are referred to as “Requirements for transmission where LBT operation is configured”</w:t>
      </w:r>
    </w:p>
    <w:p w:rsidR="00E65085" w:rsidRPr="00E65085" w:rsidRDefault="00E65085" w:rsidP="00E65085">
      <w:pPr>
        <w:numPr>
          <w:ilvl w:val="0"/>
          <w:numId w:val="33"/>
        </w:numPr>
        <w:rPr>
          <w:lang w:val="en-US" w:eastAsia="zh-CN"/>
        </w:rPr>
      </w:pPr>
      <w:r w:rsidRPr="00E65085">
        <w:rPr>
          <w:lang w:val="en-US" w:eastAsia="zh-CN"/>
        </w:rPr>
        <w:t>The scenarios in NR-U are referred to by the following proposals when necessary</w:t>
      </w:r>
    </w:p>
    <w:p w:rsidR="00E65085" w:rsidRPr="007A30B2" w:rsidRDefault="00E65085" w:rsidP="00E650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</w:rPr>
      </w:pPr>
      <w:r w:rsidRPr="00330DCC">
        <w:rPr>
          <w:b/>
          <w:bCs/>
          <w:sz w:val="22"/>
          <w:szCs w:val="22"/>
        </w:rPr>
        <w:t>Scenario A</w:t>
      </w:r>
      <w:r w:rsidRPr="00330DCC">
        <w:rPr>
          <w:bCs/>
          <w:sz w:val="22"/>
          <w:szCs w:val="22"/>
        </w:rPr>
        <w:t xml:space="preserve">: Carrier aggregation </w:t>
      </w:r>
      <w:r>
        <w:rPr>
          <w:bCs/>
          <w:sz w:val="22"/>
          <w:szCs w:val="22"/>
        </w:rPr>
        <w:t>where SSB based measurement is performed on the PCell, and DRS based measurement is performed on one or more SCells</w:t>
      </w:r>
    </w:p>
    <w:p w:rsidR="00E65085" w:rsidRPr="00330DCC" w:rsidRDefault="00E65085" w:rsidP="00E650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</w:rPr>
      </w:pPr>
      <w:r w:rsidRPr="00330DCC">
        <w:rPr>
          <w:b/>
          <w:bCs/>
          <w:sz w:val="22"/>
          <w:szCs w:val="22"/>
        </w:rPr>
        <w:t>Scenario B</w:t>
      </w:r>
      <w:r w:rsidRPr="00330DCC">
        <w:rPr>
          <w:bCs/>
          <w:sz w:val="22"/>
          <w:szCs w:val="22"/>
        </w:rPr>
        <w:t xml:space="preserve">: Dual connectivity </w:t>
      </w:r>
      <w:r>
        <w:rPr>
          <w:bCs/>
          <w:sz w:val="22"/>
          <w:szCs w:val="22"/>
        </w:rPr>
        <w:t>where SSB based measurement is performed on the PCell, and DRS based measurement is performed on the PSCell. Scell measurement may be SSB or DRS based.</w:t>
      </w:r>
    </w:p>
    <w:p w:rsidR="00E65085" w:rsidRPr="00330DCC" w:rsidRDefault="00E65085" w:rsidP="00E650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</w:rPr>
      </w:pPr>
      <w:r w:rsidRPr="00330DCC">
        <w:rPr>
          <w:b/>
          <w:bCs/>
          <w:sz w:val="22"/>
          <w:szCs w:val="22"/>
        </w:rPr>
        <w:t>Scenario C</w:t>
      </w:r>
      <w:r w:rsidRPr="00330DCC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 xml:space="preserve">CA or </w:t>
      </w:r>
      <w:r w:rsidR="00C65856">
        <w:rPr>
          <w:bCs/>
          <w:sz w:val="22"/>
          <w:szCs w:val="22"/>
        </w:rPr>
        <w:t>non-CA</w:t>
      </w:r>
      <w:r>
        <w:rPr>
          <w:bCs/>
          <w:sz w:val="22"/>
          <w:szCs w:val="22"/>
        </w:rPr>
        <w:t xml:space="preserve"> operation where DRS based measurement is performed on all serving frequencies, uplink is transmitted using an LBT configuration</w:t>
      </w:r>
    </w:p>
    <w:p w:rsidR="00E65085" w:rsidRPr="00330DCC" w:rsidRDefault="00E65085" w:rsidP="00E650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</w:rPr>
      </w:pPr>
      <w:r w:rsidRPr="00330DCC">
        <w:rPr>
          <w:b/>
          <w:bCs/>
          <w:sz w:val="22"/>
          <w:szCs w:val="22"/>
        </w:rPr>
        <w:t>Scenario D</w:t>
      </w:r>
      <w:r w:rsidRPr="00330DCC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 xml:space="preserve">CA or </w:t>
      </w:r>
      <w:r w:rsidR="00C65856">
        <w:rPr>
          <w:bCs/>
          <w:sz w:val="22"/>
          <w:szCs w:val="22"/>
        </w:rPr>
        <w:t>non-CA</w:t>
      </w:r>
      <w:r>
        <w:rPr>
          <w:bCs/>
          <w:sz w:val="22"/>
          <w:szCs w:val="22"/>
        </w:rPr>
        <w:t xml:space="preserve"> operation where DRS based measurement is performed on all serving frequencies, uplink is transmitted not using an LBT configuration</w:t>
      </w:r>
    </w:p>
    <w:p w:rsidR="00E65085" w:rsidRPr="00330DCC" w:rsidRDefault="00E65085" w:rsidP="00E6508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</w:rPr>
      </w:pPr>
      <w:r w:rsidRPr="00330DCC">
        <w:rPr>
          <w:b/>
          <w:bCs/>
          <w:sz w:val="22"/>
          <w:szCs w:val="22"/>
        </w:rPr>
        <w:t>Scenario E</w:t>
      </w:r>
      <w:r w:rsidRPr="00330DCC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Dual connectivity</w:t>
      </w:r>
      <w:r w:rsidRPr="00330DC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where SSB based measurement is performed on the PCell, and DRS based measurement is performed the PSCell. Scell measurement may be SSB or DRS based.</w:t>
      </w:r>
    </w:p>
    <w:sectPr w:rsidR="00E65085" w:rsidRPr="00330DCC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F6F" w:rsidRDefault="00BA4F6F">
      <w:r>
        <w:separator/>
      </w:r>
    </w:p>
  </w:endnote>
  <w:endnote w:type="continuationSeparator" w:id="0">
    <w:p w:rsidR="00BA4F6F" w:rsidRDefault="00B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F6F" w:rsidRDefault="00BA4F6F">
      <w:r>
        <w:separator/>
      </w:r>
    </w:p>
  </w:footnote>
  <w:footnote w:type="continuationSeparator" w:id="0">
    <w:p w:rsidR="00BA4F6F" w:rsidRDefault="00B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2" w15:restartNumberingAfterBreak="0">
    <w:nsid w:val="7FBD389A"/>
    <w:multiLevelType w:val="hybridMultilevel"/>
    <w:tmpl w:val="3CFC1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31"/>
  </w:num>
  <w:num w:numId="4">
    <w:abstractNumId w:val="7"/>
  </w:num>
  <w:num w:numId="5">
    <w:abstractNumId w:val="10"/>
  </w:num>
  <w:num w:numId="6">
    <w:abstractNumId w:val="25"/>
  </w:num>
  <w:num w:numId="7">
    <w:abstractNumId w:val="8"/>
  </w:num>
  <w:num w:numId="8">
    <w:abstractNumId w:val="19"/>
  </w:num>
  <w:num w:numId="9">
    <w:abstractNumId w:val="11"/>
  </w:num>
  <w:num w:numId="10">
    <w:abstractNumId w:val="12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30"/>
  </w:num>
  <w:num w:numId="16">
    <w:abstractNumId w:val="17"/>
  </w:num>
  <w:num w:numId="17">
    <w:abstractNumId w:val="18"/>
  </w:num>
  <w:num w:numId="18">
    <w:abstractNumId w:val="6"/>
  </w:num>
  <w:num w:numId="19">
    <w:abstractNumId w:val="21"/>
  </w:num>
  <w:num w:numId="20">
    <w:abstractNumId w:val="23"/>
  </w:num>
  <w:num w:numId="21">
    <w:abstractNumId w:val="3"/>
  </w:num>
  <w:num w:numId="22">
    <w:abstractNumId w:val="27"/>
  </w:num>
  <w:num w:numId="23">
    <w:abstractNumId w:val="2"/>
  </w:num>
  <w:num w:numId="24">
    <w:abstractNumId w:val="20"/>
  </w:num>
  <w:num w:numId="25">
    <w:abstractNumId w:val="5"/>
  </w:num>
  <w:num w:numId="26">
    <w:abstractNumId w:val="22"/>
  </w:num>
  <w:num w:numId="27">
    <w:abstractNumId w:val="14"/>
  </w:num>
  <w:num w:numId="28">
    <w:abstractNumId w:val="15"/>
  </w:num>
  <w:num w:numId="29">
    <w:abstractNumId w:val="28"/>
  </w:num>
  <w:num w:numId="30">
    <w:abstractNumId w:val="24"/>
  </w:num>
  <w:num w:numId="31">
    <w:abstractNumId w:val="26"/>
  </w:num>
  <w:num w:numId="32">
    <w:abstractNumId w:val="9"/>
  </w:num>
  <w:num w:numId="33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583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3C1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6CD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4F6F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856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085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D6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5F3682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DF1D97-18A4-40F7-A855-DC7A1EC3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3</cp:revision>
  <cp:lastPrinted>2009-04-22T13:01:00Z</cp:lastPrinted>
  <dcterms:created xsi:type="dcterms:W3CDTF">2019-08-16T09:08:00Z</dcterms:created>
  <dcterms:modified xsi:type="dcterms:W3CDTF">2019-08-16T15:51:00Z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